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56084D" w14:textId="1F529775" w:rsidR="00002525" w:rsidRPr="00002525" w:rsidRDefault="00002525" w:rsidP="00002525">
      <w:pPr>
        <w:jc w:val="center"/>
        <w:rPr>
          <w:b/>
          <w:bCs/>
          <w:sz w:val="32"/>
          <w:szCs w:val="32"/>
        </w:rPr>
      </w:pPr>
      <w:r w:rsidRPr="00002525">
        <w:rPr>
          <w:b/>
          <w:bCs/>
          <w:sz w:val="32"/>
          <w:szCs w:val="32"/>
        </w:rPr>
        <w:t>KIRODIMAL GOVT. ARTS &amp; SCIENCE COLLEGE RAIGARH (C.G.)</w:t>
      </w:r>
    </w:p>
    <w:p w14:paraId="7486C162" w14:textId="5A33FBF7" w:rsidR="00002525" w:rsidRDefault="00002525" w:rsidP="00002525">
      <w:r>
        <w:t>Best Practices Presentation: Tribal Art Gallery and Touristic Spots of Chhattisgarh</w:t>
      </w:r>
    </w:p>
    <w:p w14:paraId="70B5B247" w14:textId="77777777" w:rsidR="00002525" w:rsidRDefault="00002525" w:rsidP="00002525"/>
    <w:p w14:paraId="05853A5E" w14:textId="77777777" w:rsidR="00002525" w:rsidRDefault="00002525" w:rsidP="00002525">
      <w:r>
        <w:t>1. Title of the Practice</w:t>
      </w:r>
    </w:p>
    <w:p w14:paraId="631CE344" w14:textId="77777777" w:rsidR="00002525" w:rsidRDefault="00002525" w:rsidP="00002525"/>
    <w:p w14:paraId="66478D9B" w14:textId="77777777" w:rsidR="00002525" w:rsidRPr="00002525" w:rsidRDefault="00002525" w:rsidP="00002525">
      <w:pPr>
        <w:jc w:val="center"/>
        <w:rPr>
          <w:b/>
          <w:bCs/>
          <w:sz w:val="28"/>
          <w:szCs w:val="28"/>
        </w:rPr>
      </w:pPr>
      <w:r>
        <w:t>"</w:t>
      </w:r>
      <w:r w:rsidRPr="00002525">
        <w:rPr>
          <w:b/>
          <w:bCs/>
          <w:sz w:val="28"/>
          <w:szCs w:val="28"/>
        </w:rPr>
        <w:t>Preserving and Showcasing Tribal Art: Promoting Tourism in Chhattisgarh"</w:t>
      </w:r>
    </w:p>
    <w:p w14:paraId="62104E58" w14:textId="77777777" w:rsidR="00002525" w:rsidRDefault="00002525" w:rsidP="00002525"/>
    <w:p w14:paraId="269A7A69" w14:textId="77777777" w:rsidR="00002525" w:rsidRDefault="00002525" w:rsidP="00002525">
      <w:r>
        <w:t>2. Objectives of the Practice</w:t>
      </w:r>
    </w:p>
    <w:p w14:paraId="0F56CBF7" w14:textId="77777777" w:rsidR="00002525" w:rsidRDefault="00002525" w:rsidP="00002525"/>
    <w:p w14:paraId="0FDB7097" w14:textId="77777777" w:rsidR="00002525" w:rsidRDefault="00002525" w:rsidP="00002525">
      <w:r>
        <w:t>The primary objective is to preserve and promote the rich tribal heritage of Chhattisgarh while boosting tourism. This practice aims to provide a platform for tribal artists to showcase their work, generate livelihood opportunities, and create awareness among visitors about the state's cultural diversity. The initiative also seeks to bridge the gap between tribal communities and urban audiences, fostering appreciation and sustainable development.</w:t>
      </w:r>
    </w:p>
    <w:p w14:paraId="707B0A9F" w14:textId="77777777" w:rsidR="00002525" w:rsidRDefault="00002525" w:rsidP="00002525"/>
    <w:p w14:paraId="3B5377B0" w14:textId="77777777" w:rsidR="00002525" w:rsidRDefault="00002525" w:rsidP="00002525">
      <w:r>
        <w:t>3. The Context</w:t>
      </w:r>
    </w:p>
    <w:p w14:paraId="0C237395" w14:textId="77777777" w:rsidR="00002525" w:rsidRDefault="00002525" w:rsidP="00002525"/>
    <w:p w14:paraId="4715CA09" w14:textId="77777777" w:rsidR="00002525" w:rsidRDefault="00002525" w:rsidP="00002525">
      <w:r>
        <w:t>Chhattisgarh is home to diverse tribal communities, each with its unique art forms, including painting, sculpture, and crafts. However, these traditions face threats from modernization, lack of awareness, and dwindling economic opportunities for artisans. Establishing tribal art galleries and linking them with touristic circuits was essential to preserving this heritage. The challenge was to design a sustainable model that integrates tourism with tribal empowerment while addressing infrastructural constraints and ensuring community participation.</w:t>
      </w:r>
    </w:p>
    <w:p w14:paraId="29F489DF" w14:textId="77777777" w:rsidR="00002525" w:rsidRDefault="00002525" w:rsidP="00002525"/>
    <w:p w14:paraId="2559F83F" w14:textId="77777777" w:rsidR="00002525" w:rsidRDefault="00002525" w:rsidP="00002525">
      <w:r>
        <w:t>4. The Practice</w:t>
      </w:r>
    </w:p>
    <w:p w14:paraId="07954043" w14:textId="77777777" w:rsidR="00002525" w:rsidRDefault="00002525" w:rsidP="00002525"/>
    <w:p w14:paraId="03CF06BC" w14:textId="77777777" w:rsidR="00002525" w:rsidRDefault="00002525" w:rsidP="00002525">
      <w:r>
        <w:t xml:space="preserve">This initiative involves creating dedicated tribal art galleries in key locations of Chhattisgarh that showcase authentic art forms such as Gond paintings, </w:t>
      </w:r>
      <w:proofErr w:type="spellStart"/>
      <w:r>
        <w:t>Dhokra</w:t>
      </w:r>
      <w:proofErr w:type="spellEnd"/>
      <w:r>
        <w:t xml:space="preserve"> crafts, and Bastar ironwork. These galleries also serve as hubs for live demonstrations and workshops, enabling direct interaction between artisans and visitors.</w:t>
      </w:r>
    </w:p>
    <w:p w14:paraId="38421D35" w14:textId="77777777" w:rsidR="00002525" w:rsidRDefault="00002525" w:rsidP="00002525">
      <w:r>
        <w:t xml:space="preserve">The uniqueness lies in integrating these galleries with popular tourist circuits like </w:t>
      </w:r>
      <w:proofErr w:type="spellStart"/>
      <w:r>
        <w:t>Jagdalpur</w:t>
      </w:r>
      <w:proofErr w:type="spellEnd"/>
      <w:r>
        <w:t>, Bastar, and Kanger Valley National Park, enhancing visitor experiences while promoting local culture. Additionally, eco-tourism initiatives such as guided tribal village tours further enrich the tourist itinerary.</w:t>
      </w:r>
    </w:p>
    <w:p w14:paraId="5B675BF6" w14:textId="77777777" w:rsidR="00002525" w:rsidRDefault="00002525" w:rsidP="00002525">
      <w:r>
        <w:lastRenderedPageBreak/>
        <w:t>Constraints included initial resistance from tribal communities due to cultural apprehensions, lack of infrastructure, and funding challenges. Continuous engagement, government support, and collaborations with NGOs helped address these issues, ensuring the practice's success.</w:t>
      </w:r>
    </w:p>
    <w:p w14:paraId="273FC0D0" w14:textId="77777777" w:rsidR="00002525" w:rsidRDefault="00002525" w:rsidP="00002525"/>
    <w:p w14:paraId="53D4BA3C" w14:textId="77777777" w:rsidR="00002525" w:rsidRDefault="00002525" w:rsidP="00002525">
      <w:r>
        <w:t>5. Evidence of Success</w:t>
      </w:r>
    </w:p>
    <w:p w14:paraId="22F9855D" w14:textId="77777777" w:rsidR="00002525" w:rsidRDefault="00002525" w:rsidP="00002525"/>
    <w:p w14:paraId="597DF409" w14:textId="77777777" w:rsidR="00002525" w:rsidRDefault="00002525" w:rsidP="00002525">
      <w:r>
        <w:t xml:space="preserve">The initiative has led to a significant increase in </w:t>
      </w:r>
      <w:proofErr w:type="gramStart"/>
      <w:r>
        <w:t>tourist  in</w:t>
      </w:r>
      <w:proofErr w:type="gramEnd"/>
      <w:r>
        <w:t xml:space="preserve"> areas housing the galleries and nearby spots. Artisans report improved income levels and expanded markets for their work. The practice has gained recognition as a model for sustainable tourism, with feedback highlighting enhanced visitor awareness about tribal cultures.</w:t>
      </w:r>
    </w:p>
    <w:p w14:paraId="5007E066" w14:textId="77777777" w:rsidR="00002525" w:rsidRDefault="00002525" w:rsidP="00002525"/>
    <w:p w14:paraId="59388ECE" w14:textId="77777777" w:rsidR="00002525" w:rsidRDefault="00002525" w:rsidP="00002525">
      <w:r>
        <w:t>6. Problems Encountered and Resources Required</w:t>
      </w:r>
    </w:p>
    <w:p w14:paraId="69CB684C" w14:textId="77777777" w:rsidR="00002525" w:rsidRDefault="00002525" w:rsidP="00002525"/>
    <w:p w14:paraId="3B6D284A" w14:textId="77777777" w:rsidR="00002525" w:rsidRDefault="00002525" w:rsidP="00002525">
      <w:r>
        <w:t>Challenges included logistical issues like transportation to remote areas, limited access to raw materials, and lack of digital marketing. Sufficient resources, including funds for infrastructure development, training programs for artisans, and marketing strategies, were required. Partnerships with tourism boards, cultural organizations, and digital platforms played a crucial role in overcoming these hurdles.</w:t>
      </w:r>
    </w:p>
    <w:p w14:paraId="65AF8250" w14:textId="77777777" w:rsidR="00002525" w:rsidRDefault="00002525" w:rsidP="00002525"/>
    <w:p w14:paraId="19271254" w14:textId="77777777" w:rsidR="00002525" w:rsidRDefault="00002525" w:rsidP="00002525">
      <w:r>
        <w:t xml:space="preserve">7. Important Notes </w:t>
      </w:r>
    </w:p>
    <w:p w14:paraId="0AF6DD23" w14:textId="77777777" w:rsidR="00002525" w:rsidRDefault="00002525" w:rsidP="00002525"/>
    <w:p w14:paraId="3D080B90" w14:textId="3B8E392B" w:rsidR="00D52F15" w:rsidRDefault="00002525" w:rsidP="00002525">
      <w:r>
        <w:t>This model can be replicated in other regions with rich tribal or cultural heritage. Key considerations include involving local communities at every stage, ensuring fair compensation, and blending cultural preservation with sustainable tourism strategies. Integration with digital platforms for global outreach can further amplify the initiative's success.</w:t>
      </w:r>
    </w:p>
    <w:p w14:paraId="2669B5DF" w14:textId="77777777" w:rsidR="00002525" w:rsidRDefault="00002525" w:rsidP="00002525"/>
    <w:p w14:paraId="0860858D" w14:textId="5C6DA4A3" w:rsidR="00002525" w:rsidRPr="00002525" w:rsidRDefault="00002525" w:rsidP="00002525">
      <w:r>
        <w:rPr>
          <w:b/>
          <w:bCs/>
        </w:rPr>
        <w:t>2</w:t>
      </w:r>
      <w:r w:rsidRPr="00002525">
        <w:rPr>
          <w:b/>
          <w:bCs/>
        </w:rPr>
        <w:t>- Cultural Activities</w:t>
      </w:r>
    </w:p>
    <w:p w14:paraId="79F02AF1" w14:textId="77777777" w:rsidR="00002525" w:rsidRPr="00002525" w:rsidRDefault="00002525" w:rsidP="00002525">
      <w:r w:rsidRPr="00002525">
        <w:rPr>
          <w:b/>
          <w:bCs/>
        </w:rPr>
        <w:t>Practice:</w:t>
      </w:r>
      <w:r w:rsidRPr="00002525">
        <w:t xml:space="preserve"> Fostering Cultural Heritage: Celebrating Diversity and Unity</w:t>
      </w:r>
    </w:p>
    <w:p w14:paraId="0DAC4CA6" w14:textId="77777777" w:rsidR="00002525" w:rsidRPr="00002525" w:rsidRDefault="00002525" w:rsidP="00002525">
      <w:r w:rsidRPr="00002525">
        <w:rPr>
          <w:b/>
          <w:bCs/>
        </w:rPr>
        <w:t>Objective:</w:t>
      </w:r>
      <w:r w:rsidRPr="00002525">
        <w:t xml:space="preserve"> Promote Indian traditions, provide a platform for talent, foster unity, and inculcate respect for diversity.</w:t>
      </w:r>
    </w:p>
    <w:p w14:paraId="260541C4" w14:textId="77777777" w:rsidR="00002525" w:rsidRPr="00002525" w:rsidRDefault="00002525" w:rsidP="00002525">
      <w:r w:rsidRPr="00002525">
        <w:rPr>
          <w:b/>
          <w:bCs/>
        </w:rPr>
        <w:t xml:space="preserve">Context: </w:t>
      </w:r>
      <w:r w:rsidRPr="00002525">
        <w:t>Globalization has overshadowed cultural practices, necessitating awareness of India’s rich heritage.</w:t>
      </w:r>
    </w:p>
    <w:p w14:paraId="32B8BE4B" w14:textId="77777777" w:rsidR="00002525" w:rsidRPr="00002525" w:rsidRDefault="00002525" w:rsidP="00002525">
      <w:r w:rsidRPr="00002525">
        <w:rPr>
          <w:b/>
          <w:bCs/>
        </w:rPr>
        <w:t>Evidence of Success:</w:t>
      </w:r>
      <w:r w:rsidRPr="00002525">
        <w:t xml:space="preserve"> Increased participation, appreciation for heritage, skill development in teamwork and creativity, and improved community engagement.</w:t>
      </w:r>
    </w:p>
    <w:p w14:paraId="7468FEA9" w14:textId="77777777" w:rsidR="00002525" w:rsidRPr="00002525" w:rsidRDefault="00002525" w:rsidP="00002525">
      <w:r w:rsidRPr="00002525">
        <w:rPr>
          <w:b/>
          <w:bCs/>
        </w:rPr>
        <w:t>Challenges:</w:t>
      </w:r>
      <w:r w:rsidRPr="00002525">
        <w:t xml:space="preserve"> Stage fear, financial limitations, and inter-department coordination issues.</w:t>
      </w:r>
    </w:p>
    <w:p w14:paraId="14337638" w14:textId="77777777" w:rsidR="00002525" w:rsidRDefault="00002525" w:rsidP="00002525"/>
    <w:p w14:paraId="581FF76D" w14:textId="670810FA" w:rsidR="00002525" w:rsidRDefault="00002525" w:rsidP="00002525">
      <w:r>
        <w:rPr>
          <w:noProof/>
        </w:rPr>
        <w:lastRenderedPageBreak/>
        <w:drawing>
          <wp:inline distT="0" distB="0" distL="0" distR="0" wp14:anchorId="1A7E1DBD" wp14:editId="1BEFA470">
            <wp:extent cx="5359400" cy="3581400"/>
            <wp:effectExtent l="171450" t="190500" r="165100" b="190500"/>
            <wp:docPr id="16571646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72406" cy="359009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rPr>
        <w:drawing>
          <wp:inline distT="0" distB="0" distL="0" distR="0" wp14:anchorId="734794FA" wp14:editId="61D78D32">
            <wp:extent cx="5511393" cy="4133850"/>
            <wp:effectExtent l="171450" t="171450" r="146685" b="190500"/>
            <wp:docPr id="6365317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19702" cy="414008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rPr>
        <w:lastRenderedPageBreak/>
        <w:drawing>
          <wp:inline distT="0" distB="0" distL="0" distR="0" wp14:anchorId="1C2B394D" wp14:editId="66E2A717">
            <wp:extent cx="5731510" cy="4298950"/>
            <wp:effectExtent l="0" t="0" r="2540" b="6350"/>
            <wp:docPr id="12522969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drawing>
          <wp:inline distT="0" distB="0" distL="0" distR="0" wp14:anchorId="414209D4" wp14:editId="74E8833D">
            <wp:extent cx="5731510" cy="4298950"/>
            <wp:effectExtent l="0" t="0" r="2540" b="6350"/>
            <wp:docPr id="11324960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lastRenderedPageBreak/>
        <w:drawing>
          <wp:inline distT="0" distB="0" distL="0" distR="0" wp14:anchorId="1D7FCF1A" wp14:editId="017CFF62">
            <wp:extent cx="5731510" cy="4298950"/>
            <wp:effectExtent l="0" t="0" r="2540" b="6350"/>
            <wp:docPr id="16788380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drawing>
          <wp:inline distT="0" distB="0" distL="0" distR="0" wp14:anchorId="4B38DE0E" wp14:editId="5671615F">
            <wp:extent cx="5731510" cy="3067685"/>
            <wp:effectExtent l="0" t="0" r="2540" b="0"/>
            <wp:docPr id="16152913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067685"/>
                    </a:xfrm>
                    <a:prstGeom prst="rect">
                      <a:avLst/>
                    </a:prstGeom>
                    <a:noFill/>
                    <a:ln>
                      <a:noFill/>
                    </a:ln>
                  </pic:spPr>
                </pic:pic>
              </a:graphicData>
            </a:graphic>
          </wp:inline>
        </w:drawing>
      </w:r>
      <w:r>
        <w:rPr>
          <w:noProof/>
        </w:rPr>
        <w:lastRenderedPageBreak/>
        <w:drawing>
          <wp:inline distT="0" distB="0" distL="0" distR="0" wp14:anchorId="5FAB8F1C" wp14:editId="4FC0FAF8">
            <wp:extent cx="5731510" cy="7788275"/>
            <wp:effectExtent l="0" t="0" r="2540" b="3175"/>
            <wp:docPr id="15572904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7788275"/>
                    </a:xfrm>
                    <a:prstGeom prst="rect">
                      <a:avLst/>
                    </a:prstGeom>
                    <a:noFill/>
                    <a:ln>
                      <a:noFill/>
                    </a:ln>
                  </pic:spPr>
                </pic:pic>
              </a:graphicData>
            </a:graphic>
          </wp:inline>
        </w:drawing>
      </w:r>
      <w:r>
        <w:rPr>
          <w:noProof/>
        </w:rPr>
        <w:lastRenderedPageBreak/>
        <w:drawing>
          <wp:inline distT="0" distB="0" distL="0" distR="0" wp14:anchorId="539DFEB6" wp14:editId="09CF5E9A">
            <wp:extent cx="5731510" cy="7642225"/>
            <wp:effectExtent l="0" t="0" r="2540" b="0"/>
            <wp:docPr id="10233859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r>
        <w:rPr>
          <w:noProof/>
        </w:rPr>
        <w:lastRenderedPageBreak/>
        <w:drawing>
          <wp:inline distT="0" distB="0" distL="0" distR="0" wp14:anchorId="6F416847" wp14:editId="5384127C">
            <wp:extent cx="5731510" cy="2579370"/>
            <wp:effectExtent l="0" t="0" r="2540" b="0"/>
            <wp:docPr id="2655803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r>
        <w:rPr>
          <w:noProof/>
        </w:rPr>
        <w:drawing>
          <wp:inline distT="0" distB="0" distL="0" distR="0" wp14:anchorId="3B4A55AB" wp14:editId="42060B0D">
            <wp:extent cx="5731510" cy="2579370"/>
            <wp:effectExtent l="0" t="0" r="2540" b="0"/>
            <wp:docPr id="4600157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r>
        <w:rPr>
          <w:noProof/>
        </w:rPr>
        <w:lastRenderedPageBreak/>
        <w:drawing>
          <wp:inline distT="0" distB="0" distL="0" distR="0" wp14:anchorId="2DC54DED" wp14:editId="118515B4">
            <wp:extent cx="5731510" cy="3223895"/>
            <wp:effectExtent l="0" t="0" r="2540" b="0"/>
            <wp:docPr id="5475957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r>
        <w:rPr>
          <w:noProof/>
        </w:rPr>
        <w:lastRenderedPageBreak/>
        <w:drawing>
          <wp:inline distT="0" distB="0" distL="0" distR="0" wp14:anchorId="054B378C" wp14:editId="1FB42F65">
            <wp:extent cx="4985385" cy="8863330"/>
            <wp:effectExtent l="0" t="0" r="5715" b="0"/>
            <wp:docPr id="1511941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5385" cy="8863330"/>
                    </a:xfrm>
                    <a:prstGeom prst="rect">
                      <a:avLst/>
                    </a:prstGeom>
                    <a:noFill/>
                    <a:ln>
                      <a:noFill/>
                    </a:ln>
                  </pic:spPr>
                </pic:pic>
              </a:graphicData>
            </a:graphic>
          </wp:inline>
        </w:drawing>
      </w:r>
    </w:p>
    <w:sectPr w:rsidR="0000252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Mangal">
    <w:panose1 w:val="02040503050203030202"/>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525"/>
    <w:rsid w:val="00002525"/>
    <w:rsid w:val="005F156B"/>
    <w:rsid w:val="00617F8D"/>
    <w:rsid w:val="00963EB3"/>
    <w:rsid w:val="00D42FB0"/>
    <w:rsid w:val="00D52F15"/>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F1E45"/>
  <w15:chartTrackingRefBased/>
  <w15:docId w15:val="{864F0F53-0D1B-46DB-BE7B-729EF5F24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2525"/>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semiHidden/>
    <w:unhideWhenUsed/>
    <w:qFormat/>
    <w:rsid w:val="00002525"/>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semiHidden/>
    <w:unhideWhenUsed/>
    <w:qFormat/>
    <w:rsid w:val="00002525"/>
    <w:pPr>
      <w:keepNext/>
      <w:keepLines/>
      <w:spacing w:before="160" w:after="80"/>
      <w:outlineLvl w:val="2"/>
    </w:pPr>
    <w:rPr>
      <w:rFonts w:eastAsiaTheme="majorEastAsia"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00252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0252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0252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252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252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252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2525"/>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002525"/>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002525"/>
    <w:rPr>
      <w:rFonts w:eastAsiaTheme="majorEastAsia"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00252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0252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025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25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25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2525"/>
    <w:rPr>
      <w:rFonts w:eastAsiaTheme="majorEastAsia" w:cstheme="majorBidi"/>
      <w:color w:val="272727" w:themeColor="text1" w:themeTint="D8"/>
    </w:rPr>
  </w:style>
  <w:style w:type="paragraph" w:styleId="Title">
    <w:name w:val="Title"/>
    <w:basedOn w:val="Normal"/>
    <w:next w:val="Normal"/>
    <w:link w:val="TitleChar"/>
    <w:uiPriority w:val="10"/>
    <w:qFormat/>
    <w:rsid w:val="00002525"/>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002525"/>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002525"/>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002525"/>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002525"/>
    <w:pPr>
      <w:spacing w:before="160"/>
      <w:jc w:val="center"/>
    </w:pPr>
    <w:rPr>
      <w:i/>
      <w:iCs/>
      <w:color w:val="404040" w:themeColor="text1" w:themeTint="BF"/>
    </w:rPr>
  </w:style>
  <w:style w:type="character" w:customStyle="1" w:styleId="QuoteChar">
    <w:name w:val="Quote Char"/>
    <w:basedOn w:val="DefaultParagraphFont"/>
    <w:link w:val="Quote"/>
    <w:uiPriority w:val="29"/>
    <w:rsid w:val="00002525"/>
    <w:rPr>
      <w:i/>
      <w:iCs/>
      <w:color w:val="404040" w:themeColor="text1" w:themeTint="BF"/>
    </w:rPr>
  </w:style>
  <w:style w:type="paragraph" w:styleId="ListParagraph">
    <w:name w:val="List Paragraph"/>
    <w:basedOn w:val="Normal"/>
    <w:uiPriority w:val="34"/>
    <w:qFormat/>
    <w:rsid w:val="00002525"/>
    <w:pPr>
      <w:ind w:left="720"/>
      <w:contextualSpacing/>
    </w:pPr>
  </w:style>
  <w:style w:type="character" w:styleId="IntenseEmphasis">
    <w:name w:val="Intense Emphasis"/>
    <w:basedOn w:val="DefaultParagraphFont"/>
    <w:uiPriority w:val="21"/>
    <w:qFormat/>
    <w:rsid w:val="00002525"/>
    <w:rPr>
      <w:i/>
      <w:iCs/>
      <w:color w:val="0F4761" w:themeColor="accent1" w:themeShade="BF"/>
    </w:rPr>
  </w:style>
  <w:style w:type="paragraph" w:styleId="IntenseQuote">
    <w:name w:val="Intense Quote"/>
    <w:basedOn w:val="Normal"/>
    <w:next w:val="Normal"/>
    <w:link w:val="IntenseQuoteChar"/>
    <w:uiPriority w:val="30"/>
    <w:qFormat/>
    <w:rsid w:val="000025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02525"/>
    <w:rPr>
      <w:i/>
      <w:iCs/>
      <w:color w:val="0F4761" w:themeColor="accent1" w:themeShade="BF"/>
    </w:rPr>
  </w:style>
  <w:style w:type="character" w:styleId="IntenseReference">
    <w:name w:val="Intense Reference"/>
    <w:basedOn w:val="DefaultParagraphFont"/>
    <w:uiPriority w:val="32"/>
    <w:qFormat/>
    <w:rsid w:val="0000252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632495">
      <w:bodyDiv w:val="1"/>
      <w:marLeft w:val="0"/>
      <w:marRight w:val="0"/>
      <w:marTop w:val="0"/>
      <w:marBottom w:val="0"/>
      <w:divBdr>
        <w:top w:val="none" w:sz="0" w:space="0" w:color="auto"/>
        <w:left w:val="none" w:sz="0" w:space="0" w:color="auto"/>
        <w:bottom w:val="none" w:sz="0" w:space="0" w:color="auto"/>
        <w:right w:val="none" w:sz="0" w:space="0" w:color="auto"/>
      </w:divBdr>
    </w:div>
    <w:div w:id="653291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10</Pages>
  <Words>597</Words>
  <Characters>3409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Ranjana Sahu</dc:creator>
  <cp:keywords/>
  <dc:description/>
  <cp:lastModifiedBy>Ranjana Sahu</cp:lastModifiedBy>
  <cp:revision>1</cp:revision>
  <dcterms:created xsi:type="dcterms:W3CDTF">2025-02-02T09:57:00Z</dcterms:created>
  <dcterms:modified xsi:type="dcterms:W3CDTF">2025-02-02T10:08:00Z</dcterms:modified>
</cp:coreProperties>
</file>